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10.302.0172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10.302.0172.0011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3.3.50.43.00.00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R$ 60.000,00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R$ 60.000,00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Associação Hospital de Caridade de Três Passos 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presente emenda à despesa visa realocar recursos que possibilitem a aquisição de cirurgias, consultas e exames de ultrassom da rede municipal de saúde.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questão envolvendo um longa espera para realização de cirurgias, consultas e exames tem se mostrado recorrente, de sorte que a presente iniciativa visa auxiliar na redução desse tempo de espera.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Dessa forma, o valor total do acréscimo objeto da presente emenda deverá ser dividido em 3 blocos, assim estabelecidos: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R$ 17.250,00 para a aquisição de aproximadamente 9 cirurgias, sendo elas de Histerectomia, Minisling, Laqueadura, Oforectomia/salpingectomia, curetagens, amigdalectomia, septoplastia, extração de dente incluso;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R$ 24.750,00 para aquisição de aproximadamente 220 consultas nas especialidades de Ginecologia, Otorrino e Buco;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R$ 18.000,00 para aquisição de exames de ultrassom;</w:t>
            </w:r>
          </w:p>
          <w:p>
            <w:pPr>
              <w:pStyle w:val="ListParagraph"/>
              <w:widowControl w:val="false"/>
              <w:spacing w:lineRule="auto" w:line="240" w:before="120" w:after="120"/>
              <w:ind w:left="0" w:firstLine="633"/>
              <w:contextualSpacing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Nesse sentido, a presente emenda auxiliará sobremaneira no atendimento de pacientes que, há meses, esperam para realizar cirurgias, consultas e exames de ultrassom.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  <w:sz w:val="22"/>
          <w:szCs w:val="22"/>
        </w:rPr>
        <w:t>Três Passos,</w:t>
      </w:r>
      <w:r>
        <w:rPr>
          <w:b/>
          <w:bCs/>
          <w:sz w:val="22"/>
          <w:szCs w:val="22"/>
        </w:rPr>
        <w:t xml:space="preserve">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GILMAR MAIER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rFonts w:eastAsia="Calibri" w:cs="Times New Roman"/>
          <w:b/>
          <w:bCs/>
          <w:kern w:val="0"/>
          <w:lang w:val="pt-BR" w:bidi="ar-SA"/>
        </w:rPr>
        <w:t>VEREADOR DO PT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b/>
          <w:b/>
          <w:b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"/>
      <w:lvlJc w:val="left"/>
      <w:pPr>
        <w:tabs>
          <w:tab w:val="num" w:pos="0"/>
        </w:tabs>
        <w:ind w:left="9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Application>LibreOffice/7.4.2.3$Windows_X86_64 LibreOffice_project/382eef1f22670f7f4118c8c2dd222ec7ad009daf</Application>
  <AppVersion>15.0000</AppVersion>
  <Pages>2</Pages>
  <Words>327</Words>
  <Characters>2002</Characters>
  <CharactersWithSpaces>2275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2022-12-14T15:48:32Z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